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B709D1D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DC14F8">
        <w:rPr>
          <w:rFonts w:asciiTheme="minorHAnsi" w:hAnsiTheme="minorHAnsi" w:cstheme="minorHAnsi"/>
          <w:b/>
          <w:sz w:val="28"/>
          <w:szCs w:val="28"/>
        </w:rPr>
        <w:t>III/220 6</w:t>
      </w:r>
      <w:r w:rsidR="00C50FE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05DA7">
        <w:rPr>
          <w:rFonts w:asciiTheme="minorHAnsi" w:hAnsiTheme="minorHAnsi" w:cstheme="minorHAnsi"/>
          <w:b/>
          <w:sz w:val="28"/>
          <w:szCs w:val="28"/>
        </w:rPr>
        <w:t>Rekonstrukce</w:t>
      </w:r>
      <w:r w:rsidR="00DC14F8">
        <w:rPr>
          <w:rFonts w:asciiTheme="minorHAnsi" w:hAnsiTheme="minorHAnsi" w:cstheme="minorHAnsi"/>
          <w:b/>
          <w:sz w:val="28"/>
          <w:szCs w:val="28"/>
        </w:rPr>
        <w:t xml:space="preserve"> silnice Nivy, extravilán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B05DA7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B05DA7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B05DA7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B05DA7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B05DA7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B05DA7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375824AF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DC14F8">
        <w:rPr>
          <w:rFonts w:ascii="Book Antiqua" w:eastAsia="Arial" w:hAnsi="Book Antiqua" w:cs="Arial"/>
        </w:rPr>
        <w:t xml:space="preserve">III/220 6 </w:t>
      </w:r>
      <w:r w:rsidR="00B05DA7">
        <w:rPr>
          <w:rFonts w:ascii="Book Antiqua" w:eastAsia="Arial" w:hAnsi="Book Antiqua" w:cs="Arial"/>
        </w:rPr>
        <w:t>Rekonstrukce</w:t>
      </w:r>
      <w:r w:rsidR="00DC14F8">
        <w:rPr>
          <w:rFonts w:ascii="Book Antiqua" w:eastAsia="Arial" w:hAnsi="Book Antiqua" w:cs="Arial"/>
        </w:rPr>
        <w:t xml:space="preserve"> silnice Nivy, extravilán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302F25B0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DC14F8">
        <w:rPr>
          <w:rFonts w:ascii="Book Antiqua" w:eastAsia="Arial" w:hAnsi="Book Antiqua" w:cs="Arial"/>
        </w:rPr>
        <w:t>III/220 6</w:t>
      </w:r>
      <w:r w:rsidR="00C50FE7">
        <w:rPr>
          <w:rFonts w:ascii="Book Antiqua" w:eastAsia="Arial" w:hAnsi="Book Antiqua" w:cs="Arial"/>
        </w:rPr>
        <w:t xml:space="preserve"> </w:t>
      </w:r>
      <w:r w:rsidR="00B05DA7">
        <w:rPr>
          <w:rFonts w:ascii="Book Antiqua" w:eastAsia="Arial" w:hAnsi="Book Antiqua" w:cs="Arial"/>
        </w:rPr>
        <w:t>Rekonstrukce</w:t>
      </w:r>
      <w:r w:rsidR="00781C7E" w:rsidRPr="00781C7E">
        <w:rPr>
          <w:rFonts w:ascii="Book Antiqua" w:eastAsia="Arial" w:hAnsi="Book Antiqua" w:cs="Arial"/>
        </w:rPr>
        <w:t xml:space="preserve"> </w:t>
      </w:r>
      <w:r w:rsidR="00DC14F8">
        <w:rPr>
          <w:rFonts w:ascii="Book Antiqua" w:eastAsia="Arial" w:hAnsi="Book Antiqua" w:cs="Arial"/>
        </w:rPr>
        <w:t>silnice Nivy, extravilán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2442A00A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50FE7">
        <w:rPr>
          <w:rFonts w:ascii="Book Antiqua" w:eastAsia="Arial" w:hAnsi="Book Antiqua" w:cs="Arial"/>
        </w:rPr>
        <w:t xml:space="preserve">III/220 6 </w:t>
      </w:r>
      <w:r w:rsidR="00B05DA7">
        <w:rPr>
          <w:rFonts w:ascii="Book Antiqua" w:eastAsia="Arial" w:hAnsi="Book Antiqua" w:cs="Arial"/>
        </w:rPr>
        <w:t>Rekonstrukce</w:t>
      </w:r>
      <w:r w:rsidR="00C50FE7" w:rsidRPr="00781C7E">
        <w:rPr>
          <w:rFonts w:ascii="Book Antiqua" w:eastAsia="Arial" w:hAnsi="Book Antiqua" w:cs="Arial"/>
        </w:rPr>
        <w:t xml:space="preserve"> </w:t>
      </w:r>
      <w:r w:rsidR="00C50FE7">
        <w:rPr>
          <w:rFonts w:ascii="Book Antiqua" w:eastAsia="Arial" w:hAnsi="Book Antiqua" w:cs="Arial"/>
        </w:rPr>
        <w:t>silnice Nivy, extravilán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542224">
    <w:abstractNumId w:val="6"/>
  </w:num>
  <w:num w:numId="2" w16cid:durableId="483086926">
    <w:abstractNumId w:val="28"/>
  </w:num>
  <w:num w:numId="3" w16cid:durableId="1900826373">
    <w:abstractNumId w:val="7"/>
  </w:num>
  <w:num w:numId="4" w16cid:durableId="277955484">
    <w:abstractNumId w:val="35"/>
  </w:num>
  <w:num w:numId="5" w16cid:durableId="1018966088">
    <w:abstractNumId w:val="34"/>
  </w:num>
  <w:num w:numId="6" w16cid:durableId="1796949307">
    <w:abstractNumId w:val="38"/>
  </w:num>
  <w:num w:numId="7" w16cid:durableId="1028023982">
    <w:abstractNumId w:val="31"/>
  </w:num>
  <w:num w:numId="8" w16cid:durableId="2119597774">
    <w:abstractNumId w:val="25"/>
  </w:num>
  <w:num w:numId="9" w16cid:durableId="781808145">
    <w:abstractNumId w:val="5"/>
  </w:num>
  <w:num w:numId="10" w16cid:durableId="1468476508">
    <w:abstractNumId w:val="37"/>
  </w:num>
  <w:num w:numId="11" w16cid:durableId="1451362726">
    <w:abstractNumId w:val="10"/>
  </w:num>
  <w:num w:numId="12" w16cid:durableId="615142319">
    <w:abstractNumId w:val="13"/>
  </w:num>
  <w:num w:numId="13" w16cid:durableId="2111855482">
    <w:abstractNumId w:val="39"/>
  </w:num>
  <w:num w:numId="14" w16cid:durableId="667052551">
    <w:abstractNumId w:val="4"/>
  </w:num>
  <w:num w:numId="15" w16cid:durableId="158631">
    <w:abstractNumId w:val="9"/>
  </w:num>
  <w:num w:numId="16" w16cid:durableId="690838582">
    <w:abstractNumId w:val="1"/>
  </w:num>
  <w:num w:numId="17" w16cid:durableId="405877792">
    <w:abstractNumId w:val="14"/>
  </w:num>
  <w:num w:numId="18" w16cid:durableId="720132488">
    <w:abstractNumId w:val="11"/>
  </w:num>
  <w:num w:numId="19" w16cid:durableId="1743259309">
    <w:abstractNumId w:val="26"/>
  </w:num>
  <w:num w:numId="20" w16cid:durableId="424769073">
    <w:abstractNumId w:val="21"/>
  </w:num>
  <w:num w:numId="21" w16cid:durableId="1659768206">
    <w:abstractNumId w:val="30"/>
  </w:num>
  <w:num w:numId="22" w16cid:durableId="3670249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2950531">
    <w:abstractNumId w:val="36"/>
  </w:num>
  <w:num w:numId="24" w16cid:durableId="738672869">
    <w:abstractNumId w:val="23"/>
  </w:num>
  <w:num w:numId="25" w16cid:durableId="1412241086">
    <w:abstractNumId w:val="2"/>
  </w:num>
  <w:num w:numId="26" w16cid:durableId="1256742903">
    <w:abstractNumId w:val="29"/>
  </w:num>
  <w:num w:numId="27" w16cid:durableId="1927223195">
    <w:abstractNumId w:val="22"/>
  </w:num>
  <w:num w:numId="28" w16cid:durableId="92434139">
    <w:abstractNumId w:val="27"/>
  </w:num>
  <w:num w:numId="29" w16cid:durableId="2075003190">
    <w:abstractNumId w:val="12"/>
  </w:num>
  <w:num w:numId="30" w16cid:durableId="1405301134">
    <w:abstractNumId w:val="28"/>
  </w:num>
  <w:num w:numId="31" w16cid:durableId="1395589907">
    <w:abstractNumId w:val="3"/>
  </w:num>
  <w:num w:numId="32" w16cid:durableId="1447001648">
    <w:abstractNumId w:val="16"/>
  </w:num>
  <w:num w:numId="33" w16cid:durableId="1727558272">
    <w:abstractNumId w:val="32"/>
  </w:num>
  <w:num w:numId="34" w16cid:durableId="788158279">
    <w:abstractNumId w:val="24"/>
  </w:num>
  <w:num w:numId="35" w16cid:durableId="989821093">
    <w:abstractNumId w:val="20"/>
  </w:num>
  <w:num w:numId="36" w16cid:durableId="1686596749">
    <w:abstractNumId w:val="15"/>
  </w:num>
  <w:num w:numId="37" w16cid:durableId="340081786">
    <w:abstractNumId w:val="28"/>
  </w:num>
  <w:num w:numId="38" w16cid:durableId="1756896059">
    <w:abstractNumId w:val="8"/>
  </w:num>
  <w:num w:numId="39" w16cid:durableId="1644770693">
    <w:abstractNumId w:val="18"/>
  </w:num>
  <w:num w:numId="40" w16cid:durableId="851721489">
    <w:abstractNumId w:val="33"/>
  </w:num>
  <w:num w:numId="41" w16cid:durableId="725377314">
    <w:abstractNumId w:val="28"/>
  </w:num>
  <w:num w:numId="42" w16cid:durableId="419258973">
    <w:abstractNumId w:val="0"/>
  </w:num>
  <w:num w:numId="43" w16cid:durableId="1738820651">
    <w:abstractNumId w:val="19"/>
  </w:num>
  <w:num w:numId="44" w16cid:durableId="26438183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5DA7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FE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14F8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9A05DB-C5F6-475C-9A96-C23CC32100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2022-04-21T05:09:00Z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